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6</w:t>
      </w:r>
      <w:bookmarkStart w:id="0" w:name="_GoBack"/>
      <w:bookmarkEnd w:id="0"/>
    </w:p>
    <w:p>
      <w:pPr>
        <w:spacing w:line="500" w:lineRule="exact"/>
        <w:jc w:val="center"/>
        <w:rPr>
          <w:rFonts w:hint="eastAsia" w:ascii="方正小标宋简体" w:hAnsi="黑体" w:eastAsia="方正小标宋简体"/>
          <w:sz w:val="44"/>
          <w:szCs w:val="44"/>
          <w:lang w:eastAsia="zh-CN"/>
        </w:rPr>
      </w:pPr>
      <w:r>
        <w:rPr>
          <w:rFonts w:hint="eastAsia" w:ascii="方正小标宋简体" w:hAnsi="黑体" w:eastAsia="方正小标宋简体"/>
          <w:sz w:val="44"/>
          <w:szCs w:val="44"/>
          <w:lang w:eastAsia="zh-CN"/>
        </w:rPr>
        <w:t>住宅登记为住所的承诺书</w:t>
      </w:r>
    </w:p>
    <w:tbl>
      <w:tblPr>
        <w:tblStyle w:val="4"/>
        <w:tblpPr w:leftFromText="180" w:rightFromText="180" w:vertAnchor="text" w:horzAnchor="page" w:tblpXSpec="center" w:tblpY="266"/>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7"/>
        <w:gridCol w:w="5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917" w:type="dxa"/>
            <w:vAlign w:val="center"/>
          </w:tcPr>
          <w:p>
            <w:pPr>
              <w:adjustRightInd w:val="0"/>
              <w:snapToGrid w:val="0"/>
              <w:jc w:val="center"/>
              <w:rPr>
                <w:rFonts w:hint="eastAsia" w:ascii="仿宋_GB2312" w:hAnsi="仿宋_GB2312" w:eastAsia="仿宋_GB2312" w:cs="仿宋_GB2312"/>
                <w:sz w:val="24"/>
                <w:szCs w:val="24"/>
              </w:rPr>
            </w:pPr>
            <w:r>
              <w:rPr>
                <w:rFonts w:hint="eastAsia" w:ascii="仿宋_GB2312" w:hAnsi="仿宋" w:cs="仿宋"/>
                <w:sz w:val="24"/>
                <w:szCs w:val="24"/>
                <w:lang w:val="zh-CN"/>
              </w:rPr>
              <w:t>市场</w:t>
            </w:r>
            <w:r>
              <w:rPr>
                <w:rFonts w:hint="eastAsia" w:ascii="仿宋_GB2312" w:hAnsi="仿宋" w:eastAsia="仿宋_GB2312" w:cs="仿宋"/>
                <w:sz w:val="24"/>
                <w:szCs w:val="24"/>
                <w:lang w:val="zh-CN"/>
              </w:rPr>
              <w:t>主体名称</w:t>
            </w:r>
          </w:p>
        </w:tc>
        <w:tc>
          <w:tcPr>
            <w:tcW w:w="5903" w:type="dxa"/>
            <w:vAlign w:val="center"/>
          </w:tcPr>
          <w:p>
            <w:pPr>
              <w:adjustRightInd w:val="0"/>
              <w:snapToGrid w:val="0"/>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917" w:type="dxa"/>
            <w:tcBorders>
              <w:bottom w:val="single" w:color="auto" w:sz="4" w:space="0"/>
            </w:tcBorders>
            <w:vAlign w:val="center"/>
          </w:tcPr>
          <w:p>
            <w:pPr>
              <w:adjustRightInd w:val="0"/>
              <w:snapToGrid w:val="0"/>
              <w:jc w:val="center"/>
              <w:rPr>
                <w:rFonts w:hint="eastAsia" w:ascii="仿宋_GB2312" w:hAnsi="仿宋_GB2312" w:eastAsia="仿宋_GB2312" w:cs="仿宋_GB2312"/>
                <w:sz w:val="24"/>
                <w:szCs w:val="24"/>
              </w:rPr>
            </w:pPr>
            <w:r>
              <w:rPr>
                <w:rFonts w:hint="eastAsia" w:ascii="仿宋_GB2312" w:hAnsi="仿宋" w:eastAsia="仿宋_GB2312" w:cs="仿宋"/>
                <w:sz w:val="24"/>
                <w:szCs w:val="24"/>
                <w:lang w:val="zh-CN"/>
              </w:rPr>
              <w:t>住所（经营场所）</w:t>
            </w:r>
          </w:p>
        </w:tc>
        <w:tc>
          <w:tcPr>
            <w:tcW w:w="5903" w:type="dxa"/>
            <w:tcBorders>
              <w:bottom w:val="single" w:color="auto" w:sz="4" w:space="0"/>
            </w:tcBorders>
            <w:vAlign w:val="center"/>
          </w:tcPr>
          <w:p>
            <w:pPr>
              <w:adjustRightInd w:val="0"/>
              <w:snapToGrid w:val="0"/>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80" w:hRule="atLeast"/>
          <w:jc w:val="center"/>
        </w:trPr>
        <w:tc>
          <w:tcPr>
            <w:tcW w:w="8820" w:type="dxa"/>
            <w:gridSpan w:val="2"/>
            <w:tcBorders>
              <w:bottom w:val="single" w:color="auto" w:sz="4" w:space="0"/>
            </w:tcBorders>
            <w:vAlign w:val="center"/>
          </w:tcPr>
          <w:p>
            <w:pPr>
              <w:adjustRightInd w:val="0"/>
              <w:snapToGrid w:val="0"/>
              <w:ind w:firstLine="480" w:firstLineChars="200"/>
              <w:rPr>
                <w:rFonts w:hint="eastAsia" w:ascii="仿宋_GB2312" w:hAnsi="仿宋" w:eastAsia="仿宋_GB2312" w:cs="仿宋"/>
                <w:sz w:val="24"/>
                <w:szCs w:val="24"/>
              </w:rPr>
            </w:pPr>
            <w:r>
              <w:rPr>
                <w:rFonts w:hint="eastAsia" w:ascii="仿宋_GB2312" w:hAnsi="仿宋" w:cs="仿宋"/>
                <w:sz w:val="24"/>
                <w:szCs w:val="24"/>
                <w:lang w:eastAsia="zh-CN"/>
              </w:rPr>
              <w:t>根据</w:t>
            </w:r>
            <w:r>
              <w:rPr>
                <w:rFonts w:hint="eastAsia" w:ascii="仿宋_GB2312" w:hAnsi="仿宋" w:eastAsia="仿宋_GB2312" w:cs="仿宋"/>
                <w:sz w:val="24"/>
                <w:szCs w:val="24"/>
              </w:rPr>
              <w:t>《中华人民共和国民法典》第二百七十九条“业主不得违反法律、法规以及管理规约，将住宅改变为经营性用房。业主将住宅改变为经营性用房的，除遵守法律、法规以及管理规约外，应当经有利害关系的业主一致同意”</w:t>
            </w:r>
            <w:r>
              <w:rPr>
                <w:rFonts w:hint="eastAsia" w:ascii="仿宋_GB2312" w:hAnsi="仿宋" w:cs="仿宋"/>
                <w:sz w:val="24"/>
                <w:szCs w:val="24"/>
                <w:lang w:eastAsia="zh-CN"/>
              </w:rPr>
              <w:t>，</w:t>
            </w:r>
            <w:r>
              <w:rPr>
                <w:rFonts w:hint="eastAsia" w:ascii="仿宋_GB2312" w:hAnsi="仿宋" w:eastAsia="仿宋_GB2312" w:cs="仿宋"/>
                <w:sz w:val="24"/>
                <w:szCs w:val="24"/>
              </w:rPr>
              <w:t>业主与</w:t>
            </w:r>
            <w:r>
              <w:rPr>
                <w:rFonts w:hint="eastAsia" w:ascii="仿宋_GB2312" w:hAnsi="仿宋" w:cs="仿宋"/>
                <w:sz w:val="24"/>
                <w:szCs w:val="24"/>
                <w:lang w:val="en-US" w:eastAsia="zh-CN"/>
              </w:rPr>
              <w:t>市场</w:t>
            </w:r>
            <w:r>
              <w:rPr>
                <w:rFonts w:hint="eastAsia" w:ascii="仿宋_GB2312" w:hAnsi="仿宋" w:eastAsia="仿宋_GB2312" w:cs="仿宋"/>
                <w:sz w:val="24"/>
                <w:szCs w:val="24"/>
              </w:rPr>
              <w:t>主体将住宅</w:t>
            </w:r>
            <w:r>
              <w:rPr>
                <w:rFonts w:hint="eastAsia" w:ascii="仿宋_GB2312" w:hAnsi="仿宋" w:cs="仿宋"/>
                <w:sz w:val="24"/>
                <w:szCs w:val="24"/>
                <w:lang w:eastAsia="zh-CN"/>
              </w:rPr>
              <w:t>登记为住所</w:t>
            </w:r>
            <w:r>
              <w:rPr>
                <w:rFonts w:hint="eastAsia" w:ascii="仿宋_GB2312" w:hAnsi="仿宋" w:eastAsia="仿宋_GB2312" w:cs="仿宋"/>
                <w:sz w:val="24"/>
                <w:szCs w:val="24"/>
              </w:rPr>
              <w:t>，作出如下承诺：</w:t>
            </w:r>
          </w:p>
          <w:p>
            <w:pPr>
              <w:adjustRightInd w:val="0"/>
              <w:snapToGrid w:val="0"/>
              <w:ind w:firstLine="480" w:firstLineChars="200"/>
              <w:rPr>
                <w:rFonts w:hint="eastAsia" w:ascii="仿宋_GB2312" w:hAnsi="仿宋" w:eastAsia="仿宋_GB2312" w:cs="仿宋"/>
                <w:sz w:val="24"/>
                <w:szCs w:val="24"/>
              </w:rPr>
            </w:pPr>
            <w:r>
              <w:rPr>
                <w:rFonts w:hint="eastAsia" w:ascii="仿宋_GB2312" w:hAnsi="仿宋" w:eastAsia="仿宋_GB2312" w:cs="仿宋"/>
                <w:sz w:val="24"/>
                <w:szCs w:val="24"/>
              </w:rPr>
              <w:t>一、知悉《中华人民共和国</w:t>
            </w:r>
            <w:r>
              <w:rPr>
                <w:rFonts w:hint="eastAsia" w:ascii="仿宋_GB2312" w:hAnsi="仿宋" w:cs="仿宋"/>
                <w:sz w:val="24"/>
                <w:szCs w:val="24"/>
                <w:lang w:eastAsia="zh-CN"/>
              </w:rPr>
              <w:t>民法典</w:t>
            </w:r>
            <w:r>
              <w:rPr>
                <w:rFonts w:hint="eastAsia" w:ascii="仿宋_GB2312" w:hAnsi="仿宋" w:eastAsia="仿宋_GB2312" w:cs="仿宋"/>
                <w:sz w:val="24"/>
                <w:szCs w:val="24"/>
              </w:rPr>
              <w:t>》的相关规定；</w:t>
            </w:r>
          </w:p>
          <w:p>
            <w:pPr>
              <w:adjustRightInd w:val="0"/>
              <w:snapToGrid w:val="0"/>
              <w:ind w:firstLine="480" w:firstLineChars="200"/>
              <w:rPr>
                <w:rFonts w:hint="eastAsia" w:ascii="仿宋_GB2312" w:hAnsi="仿宋" w:eastAsia="仿宋_GB2312" w:cs="仿宋"/>
                <w:sz w:val="24"/>
                <w:szCs w:val="24"/>
              </w:rPr>
            </w:pPr>
            <w:r>
              <w:rPr>
                <w:rFonts w:hint="eastAsia" w:ascii="仿宋_GB2312" w:hAnsi="仿宋" w:eastAsia="仿宋_GB2312" w:cs="仿宋"/>
                <w:sz w:val="24"/>
                <w:szCs w:val="24"/>
              </w:rPr>
              <w:t>二、该建筑不是</w:t>
            </w:r>
            <w:r>
              <w:rPr>
                <w:rFonts w:hint="eastAsia" w:ascii="仿宋_GB2312" w:hAnsi="仿宋" w:cs="仿宋"/>
                <w:sz w:val="24"/>
                <w:szCs w:val="24"/>
                <w:lang w:val="en-US" w:eastAsia="zh-CN"/>
              </w:rPr>
              <w:t>违</w:t>
            </w:r>
            <w:r>
              <w:rPr>
                <w:rFonts w:hint="eastAsia" w:ascii="仿宋_GB2312" w:hAnsi="仿宋" w:eastAsia="仿宋_GB2312" w:cs="仿宋"/>
                <w:sz w:val="24"/>
                <w:szCs w:val="24"/>
              </w:rPr>
              <w:t>法建筑</w:t>
            </w:r>
            <w:r>
              <w:rPr>
                <w:rFonts w:hint="eastAsia" w:ascii="仿宋_GB2312" w:hAnsi="仿宋" w:cs="仿宋"/>
                <w:sz w:val="24"/>
                <w:szCs w:val="24"/>
                <w:lang w:eastAsia="zh-CN"/>
              </w:rPr>
              <w:t>、</w:t>
            </w:r>
            <w:r>
              <w:rPr>
                <w:rFonts w:hint="eastAsia" w:ascii="仿宋_GB2312" w:hAnsi="仿宋" w:cs="仿宋"/>
                <w:sz w:val="24"/>
                <w:szCs w:val="24"/>
                <w:lang w:val="en-US" w:eastAsia="zh-CN"/>
              </w:rPr>
              <w:t>危险建筑等《佛山市市场主体住所登记管理办法》第五条第一款的情形</w:t>
            </w:r>
            <w:r>
              <w:rPr>
                <w:rFonts w:hint="eastAsia" w:ascii="仿宋_GB2312" w:hAnsi="仿宋" w:eastAsia="仿宋_GB2312" w:cs="仿宋"/>
                <w:sz w:val="24"/>
                <w:szCs w:val="24"/>
              </w:rPr>
              <w:t>，承担安全消防责任，遵守有关房屋管理的法律、法规以及管理规约的规定；</w:t>
            </w:r>
          </w:p>
          <w:p>
            <w:pPr>
              <w:adjustRightInd w:val="0"/>
              <w:snapToGrid w:val="0"/>
              <w:ind w:firstLine="480" w:firstLineChars="200"/>
              <w:rPr>
                <w:rFonts w:hint="eastAsia" w:ascii="仿宋_GB2312" w:hAnsi="仿宋" w:eastAsia="仿宋_GB2312" w:cs="仿宋"/>
                <w:sz w:val="24"/>
                <w:szCs w:val="24"/>
              </w:rPr>
            </w:pPr>
            <w:r>
              <w:rPr>
                <w:rFonts w:hint="eastAsia" w:ascii="仿宋_GB2312" w:hAnsi="仿宋" w:eastAsia="仿宋_GB2312" w:cs="仿宋"/>
                <w:sz w:val="24"/>
                <w:szCs w:val="24"/>
              </w:rPr>
              <w:t>三、已经利害关系业主同意，如有纠纷，依法向人民法院提起民事诉讼寻求司法救济，经确认</w:t>
            </w:r>
            <w:r>
              <w:rPr>
                <w:rFonts w:hint="eastAsia" w:ascii="仿宋_GB2312" w:hAnsi="仿宋" w:cs="仿宋"/>
                <w:sz w:val="24"/>
                <w:szCs w:val="24"/>
                <w:lang w:val="en-US" w:eastAsia="zh-CN"/>
              </w:rPr>
              <w:t>将</w:t>
            </w:r>
            <w:r>
              <w:rPr>
                <w:rFonts w:hint="eastAsia" w:ascii="仿宋_GB2312" w:hAnsi="仿宋" w:cs="仿宋"/>
                <w:sz w:val="24"/>
                <w:szCs w:val="24"/>
              </w:rPr>
              <w:t>住宅登记为</w:t>
            </w:r>
            <w:r>
              <w:rPr>
                <w:rFonts w:hint="eastAsia" w:ascii="仿宋_GB2312" w:hAnsi="仿宋" w:cs="仿宋"/>
                <w:sz w:val="24"/>
                <w:szCs w:val="24"/>
                <w:lang w:eastAsia="zh-CN"/>
              </w:rPr>
              <w:t>住所</w:t>
            </w:r>
            <w:r>
              <w:rPr>
                <w:rFonts w:hint="eastAsia" w:ascii="仿宋_GB2312" w:hAnsi="仿宋" w:cs="仿宋"/>
                <w:sz w:val="24"/>
                <w:szCs w:val="24"/>
                <w:lang w:val="en-US" w:eastAsia="zh-CN"/>
              </w:rPr>
              <w:t>违反相关法律、法规</w:t>
            </w:r>
            <w:r>
              <w:rPr>
                <w:rFonts w:hint="eastAsia" w:ascii="仿宋_GB2312" w:hAnsi="仿宋" w:eastAsia="仿宋_GB2312" w:cs="仿宋"/>
                <w:sz w:val="24"/>
                <w:szCs w:val="24"/>
              </w:rPr>
              <w:t>的，无条件注销</w:t>
            </w:r>
            <w:r>
              <w:rPr>
                <w:rFonts w:hint="eastAsia" w:ascii="仿宋_GB2312" w:hAnsi="仿宋" w:cs="仿宋"/>
                <w:sz w:val="24"/>
                <w:szCs w:val="24"/>
                <w:lang w:val="en-US" w:eastAsia="zh-CN"/>
              </w:rPr>
              <w:t>登记</w:t>
            </w:r>
            <w:r>
              <w:rPr>
                <w:rFonts w:hint="eastAsia" w:ascii="仿宋_GB2312" w:hAnsi="仿宋" w:eastAsia="仿宋_GB2312" w:cs="仿宋"/>
                <w:sz w:val="24"/>
                <w:szCs w:val="24"/>
              </w:rPr>
              <w:t>或搬离</w:t>
            </w:r>
            <w:r>
              <w:rPr>
                <w:rFonts w:hint="eastAsia" w:ascii="仿宋_GB2312" w:hAnsi="仿宋" w:cs="仿宋"/>
                <w:sz w:val="24"/>
                <w:szCs w:val="24"/>
                <w:lang w:val="en-US" w:eastAsia="zh-CN"/>
              </w:rPr>
              <w:t>住所</w:t>
            </w:r>
            <w:r>
              <w:rPr>
                <w:rFonts w:hint="eastAsia" w:ascii="仿宋_GB2312" w:hAnsi="仿宋" w:eastAsia="仿宋_GB2312" w:cs="仿宋"/>
                <w:sz w:val="24"/>
                <w:szCs w:val="24"/>
              </w:rPr>
              <w:t>；</w:t>
            </w:r>
          </w:p>
          <w:p>
            <w:pPr>
              <w:adjustRightInd w:val="0"/>
              <w:snapToGrid w:val="0"/>
              <w:ind w:firstLine="480" w:firstLineChars="200"/>
              <w:rPr>
                <w:rFonts w:hint="eastAsia" w:ascii="仿宋_GB2312" w:hAnsi="仿宋" w:eastAsia="仿宋_GB2312" w:cs="仿宋"/>
                <w:sz w:val="24"/>
                <w:szCs w:val="24"/>
              </w:rPr>
            </w:pPr>
            <w:r>
              <w:rPr>
                <w:rFonts w:hint="eastAsia" w:ascii="仿宋_GB2312" w:hAnsi="仿宋" w:eastAsia="仿宋_GB2312" w:cs="仿宋"/>
                <w:sz w:val="24"/>
                <w:szCs w:val="24"/>
              </w:rPr>
              <w:t>四、住宅</w:t>
            </w:r>
            <w:r>
              <w:rPr>
                <w:rFonts w:hint="eastAsia" w:ascii="仿宋_GB2312" w:hAnsi="仿宋" w:cs="仿宋"/>
                <w:sz w:val="24"/>
                <w:szCs w:val="24"/>
                <w:lang w:eastAsia="zh-CN"/>
              </w:rPr>
              <w:t>登记为住所</w:t>
            </w:r>
            <w:r>
              <w:rPr>
                <w:rFonts w:hint="eastAsia" w:ascii="仿宋_GB2312" w:hAnsi="仿宋" w:eastAsia="仿宋_GB2312" w:cs="仿宋"/>
                <w:sz w:val="24"/>
                <w:szCs w:val="24"/>
              </w:rPr>
              <w:t>，不改变房产性质和结构；在征收拆迁时，不能作为经营性用房要求补（赔）偿；</w:t>
            </w:r>
          </w:p>
          <w:p>
            <w:pPr>
              <w:adjustRightInd w:val="0"/>
              <w:snapToGrid w:val="0"/>
              <w:ind w:firstLine="480" w:firstLineChars="200"/>
              <w:rPr>
                <w:rFonts w:hint="eastAsia" w:ascii="仿宋_GB2312" w:hAnsi="仿宋" w:eastAsia="仿宋_GB2312" w:cs="仿宋"/>
                <w:sz w:val="24"/>
                <w:szCs w:val="24"/>
              </w:rPr>
            </w:pPr>
            <w:r>
              <w:rPr>
                <w:rFonts w:hint="eastAsia" w:ascii="仿宋_GB2312" w:hAnsi="仿宋" w:eastAsia="仿宋_GB2312" w:cs="仿宋"/>
                <w:sz w:val="24"/>
                <w:szCs w:val="24"/>
              </w:rPr>
              <w:t>五、经营者须守法经营，不得利用该场所非法生产、加工、储存、经营易燃易爆、剧毒等危险物品。</w:t>
            </w:r>
          </w:p>
          <w:p>
            <w:pPr>
              <w:pStyle w:val="2"/>
              <w:ind w:firstLine="480" w:firstLineChars="200"/>
              <w:rPr>
                <w:rFonts w:hint="eastAsia"/>
                <w:sz w:val="24"/>
                <w:szCs w:val="24"/>
              </w:rPr>
            </w:pPr>
            <w:r>
              <w:rPr>
                <w:rFonts w:hint="eastAsia"/>
                <w:sz w:val="24"/>
                <w:szCs w:val="24"/>
                <w:lang w:eastAsia="zh-CN"/>
              </w:rPr>
              <w:t>六、</w:t>
            </w:r>
            <w:r>
              <w:rPr>
                <w:rFonts w:hint="eastAsia"/>
                <w:sz w:val="24"/>
                <w:szCs w:val="24"/>
              </w:rPr>
              <w:t>若存在污染、扰民等情形，不动产权利人及申请人将主动消除不良影响并申请办理住所变更登记或注销登记。</w:t>
            </w:r>
          </w:p>
          <w:p>
            <w:pPr>
              <w:adjustRightInd w:val="0"/>
              <w:snapToGrid w:val="0"/>
              <w:ind w:firstLine="480" w:firstLineChars="200"/>
              <w:jc w:val="both"/>
              <w:rPr>
                <w:rFonts w:hint="eastAsia" w:ascii="仿宋_GB2312" w:hAnsi="仿宋" w:eastAsia="仿宋_GB2312" w:cs="仿宋"/>
                <w:color w:val="auto"/>
                <w:sz w:val="24"/>
                <w:szCs w:val="24"/>
                <w:lang w:eastAsia="zh-CN"/>
              </w:rPr>
            </w:pPr>
            <w:r>
              <w:rPr>
                <w:rFonts w:hint="eastAsia" w:ascii="仿宋_GB2312" w:hAnsi="仿宋" w:cs="仿宋"/>
                <w:color w:val="auto"/>
                <w:sz w:val="24"/>
                <w:szCs w:val="24"/>
                <w:lang w:eastAsia="zh-CN"/>
              </w:rPr>
              <w:t>七、自建房转为经营用途的，产权人或使用人在办理相关经营许可、开展经营活动前，应当依法依规取得房屋安全鉴定合格证明，对房屋安全鉴定报告真实性负责，鉴定的建筑物与申报登记的住所为同一建筑。鉴定报告出具后，未改变房屋主体结构，无加层、改建、扩建、改变房屋用途等情况。经营期间，装饰装修房屋符合相关规定，不擅自变动或者损坏房屋建筑主体、改变房屋的用途。</w:t>
            </w:r>
          </w:p>
          <w:p>
            <w:pPr>
              <w:adjustRightInd w:val="0"/>
              <w:snapToGrid w:val="0"/>
              <w:ind w:right="1800" w:rightChars="600" w:firstLine="480" w:firstLineChars="200"/>
              <w:jc w:val="right"/>
              <w:rPr>
                <w:rFonts w:hint="eastAsia" w:ascii="仿宋_GB2312" w:hAnsi="仿宋" w:eastAsia="仿宋_GB2312" w:cs="仿宋"/>
                <w:sz w:val="24"/>
                <w:szCs w:val="24"/>
              </w:rPr>
            </w:pPr>
          </w:p>
          <w:p>
            <w:pPr>
              <w:adjustRightInd w:val="0"/>
              <w:snapToGrid w:val="0"/>
              <w:ind w:right="1800" w:rightChars="600" w:firstLine="480" w:firstLineChars="200"/>
              <w:jc w:val="right"/>
              <w:rPr>
                <w:rFonts w:hint="eastAsia" w:ascii="仿宋_GB2312" w:hAnsi="仿宋" w:eastAsia="仿宋_GB2312" w:cs="仿宋"/>
                <w:sz w:val="24"/>
                <w:szCs w:val="24"/>
              </w:rPr>
            </w:pPr>
          </w:p>
          <w:p>
            <w:pPr>
              <w:adjustRightInd w:val="0"/>
              <w:snapToGrid w:val="0"/>
              <w:ind w:right="1800" w:rightChars="600" w:firstLine="240" w:firstLineChars="100"/>
              <w:jc w:val="both"/>
              <w:rPr>
                <w:rFonts w:hint="eastAsia" w:ascii="仿宋_GB2312" w:hAnsi="仿宋" w:eastAsia="仿宋_GB2312" w:cs="仿宋"/>
                <w:sz w:val="24"/>
                <w:szCs w:val="24"/>
                <w:lang w:val="zh-CN"/>
              </w:rPr>
            </w:pPr>
            <w:r>
              <w:rPr>
                <w:rFonts w:hint="eastAsia" w:ascii="仿宋_GB2312" w:hAnsi="仿宋" w:eastAsia="仿宋_GB2312" w:cs="仿宋"/>
                <w:sz w:val="24"/>
                <w:szCs w:val="24"/>
              </w:rPr>
              <w:t>业主签名、盖章：</w:t>
            </w:r>
            <w:r>
              <w:rPr>
                <w:rFonts w:hint="eastAsia" w:ascii="仿宋_GB2312" w:hAnsi="仿宋" w:cs="仿宋"/>
                <w:sz w:val="24"/>
                <w:szCs w:val="24"/>
                <w:lang w:val="en-US" w:eastAsia="zh-CN"/>
              </w:rPr>
              <w:t xml:space="preserve">                       </w:t>
            </w:r>
            <w:r>
              <w:rPr>
                <w:rFonts w:hint="eastAsia" w:ascii="仿宋_GB2312" w:hAnsi="仿宋" w:eastAsia="仿宋_GB2312" w:cs="仿宋"/>
                <w:sz w:val="24"/>
                <w:szCs w:val="24"/>
                <w:lang w:val="zh-CN"/>
              </w:rPr>
              <w:t>申请人签名、盖章：</w:t>
            </w:r>
          </w:p>
          <w:p>
            <w:pPr>
              <w:adjustRightInd w:val="0"/>
              <w:snapToGrid w:val="0"/>
              <w:ind w:right="1800" w:rightChars="600" w:firstLine="480" w:firstLineChars="200"/>
              <w:jc w:val="right"/>
              <w:rPr>
                <w:rFonts w:hint="eastAsia" w:ascii="仿宋_GB2312" w:hAnsi="仿宋" w:eastAsia="仿宋_GB2312" w:cs="仿宋"/>
                <w:sz w:val="24"/>
                <w:szCs w:val="24"/>
                <w:lang w:val="zh-CN"/>
              </w:rPr>
            </w:pPr>
          </w:p>
          <w:p>
            <w:pPr>
              <w:adjustRightInd w:val="0"/>
              <w:snapToGrid w:val="0"/>
              <w:ind w:right="1800" w:rightChars="600"/>
              <w:jc w:val="both"/>
              <w:rPr>
                <w:rFonts w:hint="eastAsia" w:ascii="仿宋_GB2312" w:hAnsi="仿宋" w:cs="仿宋"/>
                <w:sz w:val="24"/>
                <w:szCs w:val="24"/>
                <w:lang w:val="en-US" w:eastAsia="zh-CN"/>
              </w:rPr>
            </w:pPr>
            <w:r>
              <w:rPr>
                <w:rFonts w:hint="eastAsia" w:ascii="仿宋_GB2312" w:hAnsi="仿宋" w:cs="仿宋"/>
                <w:sz w:val="24"/>
                <w:szCs w:val="24"/>
                <w:lang w:val="en-US" w:eastAsia="zh-CN"/>
              </w:rPr>
              <w:t xml:space="preserve">                </w:t>
            </w:r>
          </w:p>
          <w:p>
            <w:pPr>
              <w:adjustRightInd w:val="0"/>
              <w:snapToGrid w:val="0"/>
              <w:ind w:right="1800" w:rightChars="600"/>
              <w:jc w:val="right"/>
              <w:rPr>
                <w:rFonts w:hint="eastAsia" w:ascii="仿宋_GB2312" w:hAnsi="仿宋" w:eastAsia="仿宋_GB2312" w:cs="仿宋"/>
                <w:sz w:val="24"/>
                <w:szCs w:val="24"/>
              </w:rPr>
            </w:pPr>
            <w:r>
              <w:rPr>
                <w:rFonts w:hint="eastAsia" w:ascii="仿宋_GB2312" w:hAnsi="仿宋" w:cs="仿宋"/>
                <w:sz w:val="24"/>
                <w:szCs w:val="24"/>
                <w:lang w:val="en-US" w:eastAsia="zh-CN"/>
              </w:rPr>
              <w:t xml:space="preserve">  </w:t>
            </w:r>
            <w:r>
              <w:rPr>
                <w:rFonts w:hint="eastAsia" w:ascii="仿宋_GB2312" w:hAnsi="仿宋" w:eastAsia="仿宋_GB2312" w:cs="仿宋"/>
                <w:sz w:val="24"/>
                <w:szCs w:val="24"/>
              </w:rPr>
              <w:t xml:space="preserve">年   </w:t>
            </w:r>
            <w:r>
              <w:rPr>
                <w:rFonts w:hint="eastAsia" w:ascii="仿宋_GB2312" w:hAnsi="仿宋" w:cs="仿宋"/>
                <w:sz w:val="24"/>
                <w:szCs w:val="24"/>
                <w:lang w:val="en-US" w:eastAsia="zh-CN"/>
              </w:rPr>
              <w:t xml:space="preserve"> </w:t>
            </w:r>
            <w:r>
              <w:rPr>
                <w:rFonts w:hint="eastAsia" w:ascii="仿宋_GB2312" w:hAnsi="仿宋" w:eastAsia="仿宋_GB2312" w:cs="仿宋"/>
                <w:sz w:val="24"/>
                <w:szCs w:val="24"/>
              </w:rPr>
              <w:t xml:space="preserve">月 </w:t>
            </w:r>
            <w:r>
              <w:rPr>
                <w:rFonts w:hint="eastAsia" w:ascii="仿宋_GB2312" w:hAnsi="仿宋" w:cs="仿宋"/>
                <w:sz w:val="24"/>
                <w:szCs w:val="24"/>
                <w:lang w:val="en-US" w:eastAsia="zh-CN"/>
              </w:rPr>
              <w:t xml:space="preserve"> </w:t>
            </w:r>
            <w:r>
              <w:rPr>
                <w:rFonts w:hint="eastAsia" w:ascii="仿宋_GB2312" w:hAnsi="仿宋" w:eastAsia="仿宋_GB2312" w:cs="仿宋"/>
                <w:sz w:val="24"/>
                <w:szCs w:val="24"/>
              </w:rPr>
              <w:t xml:space="preserve">  日</w:t>
            </w:r>
          </w:p>
        </w:tc>
      </w:tr>
    </w:tbl>
    <w:p>
      <w:pPr>
        <w:adjustRightInd w:val="0"/>
        <w:snapToGrid w:val="0"/>
        <w:rPr>
          <w:rFonts w:hint="eastAsia" w:ascii="仿宋_GB2312" w:eastAsia="仿宋_GB2312"/>
          <w:sz w:val="21"/>
          <w:szCs w:val="21"/>
        </w:rPr>
      </w:pPr>
    </w:p>
    <w:p>
      <w:pPr>
        <w:adjustRightInd w:val="0"/>
        <w:snapToGrid w:val="0"/>
        <w:ind w:left="630" w:hanging="630" w:hangingChars="300"/>
        <w:rPr>
          <w:rFonts w:hint="eastAsia" w:ascii="仿宋_GB2312" w:eastAsia="仿宋_GB2312"/>
          <w:sz w:val="21"/>
          <w:szCs w:val="21"/>
        </w:rPr>
      </w:pPr>
      <w:r>
        <w:rPr>
          <w:rFonts w:hint="eastAsia" w:ascii="仿宋_GB2312" w:eastAsia="仿宋_GB2312"/>
          <w:sz w:val="21"/>
          <w:szCs w:val="21"/>
        </w:rPr>
        <w:t>注：1</w:t>
      </w:r>
      <w:r>
        <w:rPr>
          <w:rFonts w:hint="eastAsia" w:ascii="仿宋_GB2312"/>
          <w:sz w:val="21"/>
          <w:szCs w:val="21"/>
          <w:lang w:val="en-US" w:eastAsia="zh-CN"/>
        </w:rPr>
        <w:t>.</w:t>
      </w:r>
      <w:r>
        <w:rPr>
          <w:rFonts w:hint="eastAsia" w:ascii="仿宋_GB2312" w:eastAsia="仿宋_GB2312"/>
          <w:sz w:val="21"/>
          <w:szCs w:val="21"/>
        </w:rPr>
        <w:t>业主即不动产权利人；不动产权利人为自然人的，由自然人签字；不动产权利人为法人单位的，由单位有权签字人签署，并加盖法人单位公章。</w:t>
      </w:r>
    </w:p>
    <w:p>
      <w:pPr>
        <w:numPr>
          <w:ilvl w:val="0"/>
          <w:numId w:val="0"/>
        </w:numPr>
        <w:adjustRightInd w:val="0"/>
        <w:snapToGrid w:val="0"/>
        <w:ind w:left="630" w:leftChars="140" w:hanging="210" w:hangingChars="100"/>
        <w:rPr>
          <w:rFonts w:hint="eastAsia" w:ascii="仿宋_GB2312" w:eastAsia="仿宋_GB2312"/>
          <w:sz w:val="21"/>
          <w:szCs w:val="21"/>
        </w:rPr>
      </w:pPr>
      <w:r>
        <w:rPr>
          <w:rFonts w:hint="eastAsia" w:ascii="仿宋_GB2312"/>
          <w:sz w:val="21"/>
          <w:szCs w:val="21"/>
          <w:lang w:val="en-US" w:eastAsia="zh-CN"/>
        </w:rPr>
        <w:t>2.</w:t>
      </w:r>
      <w:r>
        <w:rPr>
          <w:rFonts w:hint="default" w:ascii="仿宋_GB2312" w:eastAsia="仿宋_GB2312"/>
          <w:sz w:val="21"/>
          <w:szCs w:val="21"/>
          <w:lang w:val="en-US"/>
        </w:rPr>
        <w:t>企业（公司）</w:t>
      </w:r>
      <w:r>
        <w:rPr>
          <w:rFonts w:hint="eastAsia" w:ascii="仿宋_GB2312" w:eastAsia="仿宋_GB2312"/>
          <w:sz w:val="21"/>
          <w:szCs w:val="21"/>
        </w:rPr>
        <w:t>设立登记时，申请人为股东（出资人）。股东是法人的，由</w:t>
      </w:r>
      <w:r>
        <w:rPr>
          <w:rFonts w:hint="eastAsia" w:ascii="仿宋_GB2312" w:eastAsia="仿宋_GB2312"/>
          <w:sz w:val="21"/>
          <w:szCs w:val="21"/>
          <w:lang w:val="zh-CN"/>
        </w:rPr>
        <w:t>其法定代表人或负责人（有权签字人）签字，并加盖</w:t>
      </w:r>
      <w:r>
        <w:rPr>
          <w:rFonts w:hint="eastAsia" w:ascii="仿宋_GB2312" w:eastAsia="仿宋_GB2312"/>
          <w:sz w:val="21"/>
          <w:szCs w:val="21"/>
        </w:rPr>
        <w:t>股东</w:t>
      </w:r>
      <w:r>
        <w:rPr>
          <w:rFonts w:hint="eastAsia" w:ascii="仿宋_GB2312" w:eastAsia="仿宋_GB2312"/>
          <w:sz w:val="21"/>
          <w:szCs w:val="21"/>
          <w:lang w:val="zh-CN"/>
        </w:rPr>
        <w:t>公章；</w:t>
      </w:r>
      <w:r>
        <w:rPr>
          <w:rFonts w:hint="eastAsia" w:ascii="仿宋_GB2312" w:eastAsia="仿宋_GB2312"/>
          <w:sz w:val="21"/>
          <w:szCs w:val="21"/>
        </w:rPr>
        <w:t>股东是自然人的，由自然人签字；个体工商户开业登记时，由自然人签字。企业（公司）变更登记时，由法定代表人签字，并加盖企业（公司）公章；个体工商户变更登记时，由个体工商户盖章或签字。</w:t>
      </w:r>
    </w:p>
    <w:p>
      <w:pPr>
        <w:pStyle w:val="2"/>
        <w:numPr>
          <w:ilvl w:val="0"/>
          <w:numId w:val="0"/>
        </w:numPr>
        <w:ind w:left="630" w:leftChars="140" w:hanging="210" w:hangingChars="100"/>
        <w:rPr>
          <w:rFonts w:hint="eastAsia" w:ascii="仿宋_GB2312" w:eastAsia="仿宋_GB2312" w:hAnsiTheme="minorHAnsi" w:cstheme="minorBidi"/>
          <w:lang w:eastAsia="zh-CN"/>
        </w:rPr>
      </w:pPr>
      <w:r>
        <w:rPr>
          <w:rFonts w:hint="eastAsia" w:ascii="仿宋_GB2312" w:hAnsiTheme="minorHAnsi" w:cstheme="minorBidi"/>
          <w:lang w:val="en-US" w:eastAsia="zh-CN"/>
        </w:rPr>
        <w:t>3.有利害关系的业主可指与拟改变为经营性用房的住宅有利害关系的业主，包括住宅所在本栋建筑物内的其他业主，以及基于住宅改变为经营性用房，能证明其房屋价值、生活质量受到或者可能受到不利影响的本栋建筑物之外的业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revisionView w:markup="0"/>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lNjkxM2E0NDJlNTYxZmU4N2E1MDlhOWRhZjUzYjUifQ=="/>
  </w:docVars>
  <w:rsids>
    <w:rsidRoot w:val="72714BB5"/>
    <w:rsid w:val="0E995C5D"/>
    <w:rsid w:val="1EEA273B"/>
    <w:rsid w:val="3DBD74F9"/>
    <w:rsid w:val="556B4366"/>
    <w:rsid w:val="5FDFDB61"/>
    <w:rsid w:val="72714BB5"/>
    <w:rsid w:val="7A8B129B"/>
    <w:rsid w:val="7BDE33ED"/>
    <w:rsid w:val="7D7E3138"/>
    <w:rsid w:val="7FFE91DC"/>
    <w:rsid w:val="97FD0D95"/>
    <w:rsid w:val="A5F70BC8"/>
    <w:rsid w:val="A750EA00"/>
    <w:rsid w:val="C7277A1D"/>
    <w:rsid w:val="CBEF6EF7"/>
    <w:rsid w:val="EBFE605C"/>
    <w:rsid w:val="EFF97698"/>
    <w:rsid w:val="FDFD5538"/>
    <w:rsid w:val="FEFD2C93"/>
    <w:rsid w:val="FFB7CB9A"/>
    <w:rsid w:val="FFBF9B1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HAnsi" w:hAnsiTheme="minorHAnsi" w:cstheme="minorBidi"/>
      <w:kern w:val="2"/>
      <w:sz w:val="30"/>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宋体"/>
      <w:sz w:val="21"/>
      <w:szCs w:val="21"/>
    </w:rPr>
  </w:style>
  <w:style w:type="paragraph" w:styleId="3">
    <w:name w:val="annotation text"/>
    <w:basedOn w:val="1"/>
    <w:qFormat/>
    <w:uiPriority w:val="0"/>
    <w:pPr>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市工商行政管理局</Company>
  <Pages>1</Pages>
  <Words>0</Words>
  <Characters>0</Characters>
  <Lines>0</Lines>
  <Paragraphs>0</Paragraphs>
  <TotalTime>9</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2019-09-23T03:15:00Z</dcterms:created>
  <dc:creator>黎鑫</dc:creator>
  <cp:lastModifiedBy>黎苏</cp:lastModifiedBy>
  <dcterms:modified xsi:type="dcterms:W3CDTF">2023-12-29T17:12:50Z</dcterms:modified>
  <dc:title>附件6</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1EBF77B189084B8597141E3EB99F2600_13</vt:lpwstr>
  </property>
</Properties>
</file>